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rPr>
      </w:pPr>
    </w:p>
    <w:p>
      <w:pPr>
        <w:rPr>
          <w:rFonts w:hint="default" w:ascii="Times New Roman" w:hAnsi="Times New Roman" w:cs="Times New Roman"/>
          <w:sz w:val="32"/>
          <w:szCs w:val="32"/>
        </w:rPr>
      </w:pPr>
      <w:r>
        <w:rPr>
          <w:rFonts w:hint="default" w:ascii="Times New Roman" w:hAnsi="Times New Roman" w:cs="Times New Roman"/>
          <w:sz w:val="32"/>
          <w:szCs w:val="32"/>
        </w:rPr>
        <w:t>Ek1：</w:t>
      </w:r>
    </w:p>
    <w:p>
      <w:pPr>
        <w:jc w:val="center"/>
        <w:rPr>
          <w:rFonts w:hint="default" w:ascii="Times New Roman" w:hAnsi="Times New Roman" w:cs="Times New Roman"/>
          <w:sz w:val="32"/>
          <w:szCs w:val="32"/>
        </w:rPr>
      </w:pPr>
      <w:r>
        <w:rPr>
          <w:rFonts w:hint="default" w:ascii="Times New Roman" w:hAnsi="Times New Roman" w:cs="Times New Roman"/>
          <w:sz w:val="32"/>
          <w:szCs w:val="32"/>
        </w:rPr>
        <w:t>Apostil Veren</w:t>
      </w:r>
    </w:p>
    <w:p>
      <w:pPr>
        <w:jc w:val="center"/>
        <w:rPr>
          <w:rFonts w:hint="default" w:ascii="Times New Roman" w:hAnsi="Times New Roman" w:cs="Times New Roman"/>
          <w:sz w:val="32"/>
          <w:szCs w:val="32"/>
        </w:rPr>
      </w:pPr>
      <w:r>
        <w:rPr>
          <w:rFonts w:hint="default" w:ascii="Times New Roman" w:hAnsi="Times New Roman" w:cs="Times New Roman"/>
          <w:sz w:val="32"/>
          <w:szCs w:val="32"/>
        </w:rPr>
        <w:t>Yerel Halk Hükümeti Dış İlişkiler Ofislerinin Listesi</w:t>
      </w:r>
    </w:p>
    <w:p>
      <w:pPr>
        <w:jc w:val="center"/>
        <w:rPr>
          <w:rFonts w:hint="default" w:ascii="Times New Roman" w:hAnsi="Times New Roman" w:cs="Times New Roman"/>
          <w:sz w:val="32"/>
          <w:szCs w:val="32"/>
        </w:rPr>
      </w:pPr>
      <w:r>
        <w:rPr>
          <w:rFonts w:hint="default" w:ascii="Times New Roman" w:hAnsi="Times New Roman" w:cs="Times New Roman"/>
          <w:sz w:val="32"/>
          <w:szCs w:val="32"/>
        </w:rPr>
        <w:t>（31 makam）</w:t>
      </w:r>
    </w:p>
    <w:p>
      <w:pPr>
        <w:jc w:val="center"/>
        <w:rPr>
          <w:rFonts w:hint="default" w:ascii="Times New Roman" w:hAnsi="Times New Roman" w:cs="Times New Roman"/>
          <w:sz w:val="32"/>
          <w:szCs w:val="32"/>
        </w:rPr>
      </w:pPr>
      <w:bookmarkStart w:id="0" w:name="_GoBack"/>
      <w:bookmarkEnd w:id="0"/>
    </w:p>
    <w:p>
      <w:pPr>
        <w:rPr>
          <w:rFonts w:hint="default" w:ascii="Times New Roman" w:hAnsi="Times New Roman" w:cs="Times New Roman"/>
          <w:sz w:val="32"/>
          <w:szCs w:val="32"/>
        </w:rPr>
      </w:pPr>
      <w:r>
        <w:rPr>
          <w:rFonts w:hint="default" w:ascii="Times New Roman" w:hAnsi="Times New Roman" w:cs="Times New Roman"/>
          <w:sz w:val="32"/>
          <w:szCs w:val="32"/>
        </w:rPr>
        <w:t>Anhui Eyaleti, Chongqing Belediyesi, Fujian Eyaleti, Guangdong Eyaleti, Guangxi Zhuangzu Özerk Bölgesi, Guizhou Eyaleti, Henan Eyaleti, Heilongjiang Eyaleti, Hubei Eyaleti, Hunan Eyaleti, Hainan Eyaleti, Jilin Eyaleti, Jiangsu Eyaleti, Jiangxi Eyaleti, Liaoning Eyaleti, Sichuan Eyaleti, Shandong Eyaleti, Şangay Belediyesi, Shaanxi Eyaleti, Yunnan Eyaleti, Zhejiang Eyaleti, Gansu Eyaleti, Hebei Eyaleti, Shanxi Eyaleti, İç Moğolistan Özerk Bölgesi, Changchun Belediyesi, Harbin Belediyesi, Ningbo Belediyesi, Jinan Belediyesi, Qingdao Belediyesi, Shenzhen Belediyesi</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4C24CB2"/>
    <w:rsid w:val="64C24C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2023-10-24T07:59:00Z</dcterms:created>
  <dc:creator>ShiYongRen</dc:creator>
  <cp:lastModifiedBy>ShiYongRen</cp:lastModifiedBy>
  <dcterms:modified xsi:type="dcterms:W3CDTF">2023-10-24T08:00:20Z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ies>
</file>